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745930" w:rsidRDefault="009B1200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16 kwietnia 2020 r.  </w:t>
      </w:r>
    </w:p>
    <w:p w:rsidR="00745930" w:rsidRDefault="00745930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745930" w:rsidRDefault="009B120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820742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:rsidR="00745930" w:rsidRDefault="009B1200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2"/>
      </w:tblGrid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t>Prowadzenie i rozwój Zintegrowanego Rejestru Kwalifikacji</w:t>
            </w:r>
            <w:r w:rsidR="009220C9">
              <w:t xml:space="preserve"> (etap 2)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Minister Edukacji i Nauki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t>brak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6F4B" w:rsidRPr="006D6F4B" w:rsidRDefault="006D6F4B" w:rsidP="006D6F4B">
            <w:pPr>
              <w:spacing w:line="276" w:lineRule="auto"/>
            </w:pPr>
            <w:r w:rsidRPr="006D6F4B">
              <w:t xml:space="preserve">Program Operacyjny Wiedza Edukacja Rozwój, Oś priorytetowa II, </w:t>
            </w:r>
            <w:r>
              <w:t>Działanie 2.11 Zapewnienie funkcjonowania Zintegrowanego Rejestru Kwalifikacji</w:t>
            </w:r>
          </w:p>
          <w:p w:rsidR="006D6F4B" w:rsidRDefault="006D6F4B" w:rsidP="006D6F4B">
            <w:pPr>
              <w:spacing w:line="276" w:lineRule="auto"/>
            </w:pPr>
            <w:r w:rsidRPr="006D6F4B">
              <w:t>w części EFS</w:t>
            </w:r>
            <w:r>
              <w:t>:</w:t>
            </w:r>
            <w:r w:rsidRPr="006D6F4B">
              <w:t> </w:t>
            </w:r>
            <w:r>
              <w:t xml:space="preserve">84,28%, </w:t>
            </w:r>
            <w:r w:rsidRPr="006D6F4B">
              <w:t>w części wkładu krajowego</w:t>
            </w:r>
            <w:r>
              <w:t>:</w:t>
            </w:r>
            <w:r w:rsidRPr="006D6F4B">
              <w:t xml:space="preserve"> </w:t>
            </w:r>
            <w:r>
              <w:t>15,72%</w:t>
            </w:r>
          </w:p>
          <w:p w:rsidR="00745930" w:rsidRPr="006D6F4B" w:rsidRDefault="002A2313" w:rsidP="006D6F4B">
            <w:pPr>
              <w:spacing w:line="276" w:lineRule="auto"/>
              <w:rPr>
                <w:i/>
              </w:rPr>
            </w:pPr>
            <w:r w:rsidRPr="006D6F4B">
              <w:rPr>
                <w:i/>
              </w:rPr>
              <w:t>budżet państwa: część 30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spacing w:line="276" w:lineRule="auto"/>
            </w:pPr>
            <w:r>
              <w:t xml:space="preserve">Wartość początkowa projektu: </w:t>
            </w:r>
            <w:r w:rsidR="009220C9" w:rsidRPr="009220C9">
              <w:t>30</w:t>
            </w:r>
            <w:r w:rsidR="009220C9">
              <w:t> </w:t>
            </w:r>
            <w:r w:rsidR="009220C9" w:rsidRPr="009220C9">
              <w:t>362</w:t>
            </w:r>
            <w:r w:rsidR="009220C9">
              <w:t xml:space="preserve"> </w:t>
            </w:r>
            <w:r w:rsidR="009220C9" w:rsidRPr="009220C9">
              <w:t>077,79</w:t>
            </w:r>
            <w:r w:rsidR="009220C9">
              <w:t xml:space="preserve"> </w:t>
            </w:r>
            <w:r>
              <w:t>zł brutto</w:t>
            </w:r>
          </w:p>
          <w:p w:rsidR="00EF6F5F" w:rsidRDefault="00EF6F5F">
            <w:pPr>
              <w:spacing w:line="276" w:lineRule="auto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  <w:r w:rsidR="004A1B91">
              <w:t xml:space="preserve"> (dokonano modyfikacji wniosku po I ocenie merytorycznej)</w:t>
            </w:r>
            <w:bookmarkStart w:id="0" w:name="_GoBack"/>
            <w:bookmarkEnd w:id="0"/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220C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 brutto</w:t>
            </w:r>
          </w:p>
        </w:tc>
      </w:tr>
      <w:tr w:rsidR="0074593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>data rozpoczęcia realizacji projektu: 01-1</w:t>
            </w:r>
            <w:r w:rsidR="009220C9">
              <w:t>0</w:t>
            </w:r>
            <w:r>
              <w:t>-20</w:t>
            </w:r>
            <w:r w:rsidR="009220C9">
              <w:t>20</w:t>
            </w:r>
          </w:p>
          <w:p w:rsidR="00745930" w:rsidRDefault="009B1200">
            <w:pPr>
              <w:pStyle w:val="Akapitzlist"/>
              <w:numPr>
                <w:ilvl w:val="0"/>
                <w:numId w:val="1"/>
              </w:numPr>
              <w:spacing w:after="0"/>
              <w:ind w:left="190" w:hanging="190"/>
            </w:pPr>
            <w:r>
              <w:t xml:space="preserve">data zakończenia realizacji projektu: </w:t>
            </w:r>
            <w:r w:rsidR="00BF3118">
              <w:t>31</w:t>
            </w:r>
            <w:r>
              <w:t>-</w:t>
            </w:r>
            <w:r w:rsidR="009220C9">
              <w:t>03</w:t>
            </w:r>
            <w:r>
              <w:t>-202</w:t>
            </w:r>
            <w:r w:rsidR="009220C9">
              <w:t>3</w:t>
            </w:r>
            <w:r>
              <w:t xml:space="preserve"> </w:t>
            </w:r>
          </w:p>
          <w:p w:rsidR="00EF6F5F" w:rsidRDefault="00EF6F5F" w:rsidP="00EF6F5F">
            <w:pPr>
              <w:pStyle w:val="Akapitzlist"/>
              <w:spacing w:after="0"/>
              <w:ind w:left="190"/>
            </w:pPr>
          </w:p>
          <w:p w:rsidR="00EF6F5F" w:rsidRDefault="00EF6F5F" w:rsidP="00EF6F5F">
            <w:pPr>
              <w:spacing w:after="0"/>
            </w:pPr>
            <w:r>
              <w:t xml:space="preserve">zgodnie z danymi zawartymi w umowie o dofinansowanie nr </w:t>
            </w:r>
            <w:r w:rsidRPr="00EF6F5F">
              <w:t>POWR.02.11.00-00-001/20 z dnia 30.07.2020 r.</w:t>
            </w:r>
          </w:p>
          <w:p w:rsidR="00745930" w:rsidRDefault="00745930">
            <w:pPr>
              <w:spacing w:after="0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745930" w:rsidRDefault="009B1200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EF6F5F" w:rsidRDefault="00EF6F5F">
      <w:pPr>
        <w:spacing w:after="240"/>
        <w:jc w:val="both"/>
      </w:pPr>
    </w:p>
    <w:p w:rsidR="00745930" w:rsidRDefault="009B1200">
      <w:pPr>
        <w:pStyle w:val="Nagwek2"/>
        <w:numPr>
          <w:ilvl w:val="0"/>
          <w:numId w:val="2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lastRenderedPageBreak/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745930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45930">
        <w:tc>
          <w:tcPr>
            <w:tcW w:w="2972" w:type="dxa"/>
          </w:tcPr>
          <w:p w:rsidR="00A24FE8" w:rsidRDefault="009B1200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 w:rsidR="00E16652" w:rsidRPr="00A24FE8">
              <w:rPr>
                <w:b/>
              </w:rPr>
              <w:t>10</w:t>
            </w:r>
            <w:r w:rsidRPr="00A24FE8">
              <w:rPr>
                <w:b/>
              </w:rPr>
              <w:t>%</w:t>
            </w:r>
            <w:r w:rsidR="00D71322" w:rsidRPr="00A24FE8">
              <w:rPr>
                <w:b/>
              </w:rPr>
              <w:t xml:space="preserve"> </w:t>
            </w:r>
          </w:p>
          <w:p w:rsidR="00745930" w:rsidRDefault="00D71322">
            <w:pPr>
              <w:spacing w:after="0" w:line="240" w:lineRule="auto"/>
            </w:pPr>
            <w:r w:rsidRPr="005B1AB1">
              <w:t>(</w:t>
            </w:r>
            <w:r>
              <w:t xml:space="preserve">3 </w:t>
            </w:r>
            <w:r w:rsidRPr="005B1AB1">
              <w:t>m-c</w:t>
            </w:r>
            <w:r>
              <w:t>e</w:t>
            </w:r>
            <w:r w:rsidRPr="005B1AB1">
              <w:t xml:space="preserve"> / 3</w:t>
            </w:r>
            <w:r>
              <w:t>0</w:t>
            </w:r>
            <w:r w:rsidRPr="005B1AB1">
              <w:t xml:space="preserve"> m-</w:t>
            </w:r>
            <w:proofErr w:type="spellStart"/>
            <w:r w:rsidRPr="005B1AB1">
              <w:t>cy</w:t>
            </w:r>
            <w:proofErr w:type="spellEnd"/>
            <w:r w:rsidRPr="005B1AB1">
              <w:t>)</w:t>
            </w:r>
          </w:p>
        </w:tc>
        <w:tc>
          <w:tcPr>
            <w:tcW w:w="3260" w:type="dxa"/>
          </w:tcPr>
          <w:p w:rsidR="00A24FE8" w:rsidRDefault="009B1200">
            <w:pPr>
              <w:spacing w:after="0" w:line="240" w:lineRule="auto"/>
              <w:rPr>
                <w:rFonts w:ascii="Calibri" w:hAnsi="Calibri" w:cs="Calibri"/>
              </w:rPr>
            </w:pPr>
            <w:r>
              <w:t xml:space="preserve">% wartość wydatków poniesionych w projekcie w stosunku do całkowitego kosztu projektu: </w:t>
            </w:r>
            <w:r w:rsidR="00E16652" w:rsidRPr="00A24FE8">
              <w:rPr>
                <w:rFonts w:ascii="Calibri" w:hAnsi="Calibri" w:cs="Calibri"/>
                <w:b/>
              </w:rPr>
              <w:t>4,90</w:t>
            </w:r>
            <w:r w:rsidRPr="00A24FE8">
              <w:rPr>
                <w:rFonts w:ascii="Calibri" w:hAnsi="Calibri" w:cs="Calibri"/>
                <w:b/>
              </w:rPr>
              <w:t>%</w:t>
            </w:r>
            <w:r w:rsidR="00D71322">
              <w:rPr>
                <w:rFonts w:ascii="Calibri" w:hAnsi="Calibri" w:cs="Calibri"/>
              </w:rPr>
              <w:t xml:space="preserve"> </w:t>
            </w:r>
          </w:p>
          <w:p w:rsidR="00A24FE8" w:rsidRDefault="00D71322">
            <w:pPr>
              <w:spacing w:after="0" w:line="240" w:lineRule="auto"/>
            </w:pPr>
            <w:r>
              <w:rPr>
                <w:rFonts w:ascii="Calibri" w:hAnsi="Calibri" w:cs="Calibri"/>
              </w:rPr>
              <w:t>(</w:t>
            </w:r>
            <w:r w:rsidRPr="00A24FE8">
              <w:t>1</w:t>
            </w:r>
            <w:r w:rsidR="00A24FE8" w:rsidRPr="00A24FE8">
              <w:t> </w:t>
            </w:r>
            <w:r w:rsidRPr="00A24FE8">
              <w:t>488</w:t>
            </w:r>
            <w:r w:rsidR="00A24FE8" w:rsidRPr="00A24FE8">
              <w:t xml:space="preserve"> </w:t>
            </w:r>
            <w:r w:rsidRPr="00A24FE8">
              <w:t xml:space="preserve">734,58 zł / </w:t>
            </w:r>
          </w:p>
          <w:p w:rsidR="00745930" w:rsidRDefault="00A24FE8">
            <w:pPr>
              <w:spacing w:after="0" w:line="240" w:lineRule="auto"/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  <w:p w:rsidR="00745930" w:rsidRDefault="00745930">
            <w:pPr>
              <w:spacing w:after="0" w:line="240" w:lineRule="auto"/>
            </w:pPr>
          </w:p>
          <w:p w:rsidR="00A24FE8" w:rsidRDefault="009B1200">
            <w:pPr>
              <w:spacing w:after="0" w:line="240" w:lineRule="auto"/>
            </w:pPr>
            <w:r>
              <w:t xml:space="preserve">% wartość wydatków kwalifikowalnych wykazanych w zatwierdzonych wnioskach o płatność w stosunku do wartości umowy/porozumienia o dofinansowanie w części środków kwalifikowalnych: </w:t>
            </w:r>
            <w:r w:rsidR="00E16652" w:rsidRPr="00A24FE8">
              <w:rPr>
                <w:rFonts w:ascii="Calibri" w:hAnsi="Calibri" w:cs="Calibri"/>
                <w:b/>
              </w:rPr>
              <w:t>0</w:t>
            </w:r>
            <w:r w:rsidRPr="00A24FE8">
              <w:rPr>
                <w:rFonts w:ascii="Calibri" w:hAnsi="Calibri" w:cs="Calibri"/>
                <w:b/>
              </w:rPr>
              <w:t>%</w:t>
            </w:r>
            <w:r w:rsidR="00A24FE8">
              <w:rPr>
                <w:rFonts w:ascii="Calibri" w:hAnsi="Calibri" w:cs="Calibri"/>
              </w:rPr>
              <w:t xml:space="preserve"> (</w:t>
            </w:r>
            <w:r w:rsidR="00A24FE8" w:rsidRPr="00A24FE8">
              <w:t xml:space="preserve">1 488 734,58 zł / </w:t>
            </w:r>
          </w:p>
          <w:p w:rsidR="00A24FE8" w:rsidRDefault="00A24FE8">
            <w:pPr>
              <w:spacing w:after="0" w:line="240" w:lineRule="auto"/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  <w:p w:rsidR="00745930" w:rsidRDefault="00745930">
            <w:pPr>
              <w:spacing w:after="0" w:line="240" w:lineRule="auto"/>
            </w:pPr>
          </w:p>
          <w:p w:rsidR="00A24FE8" w:rsidRDefault="009B1200">
            <w:pPr>
              <w:spacing w:after="0" w:line="240" w:lineRule="auto"/>
              <w:rPr>
                <w:rFonts w:ascii="Calibri" w:hAnsi="Calibri" w:cs="Calibri"/>
              </w:rPr>
            </w:pPr>
            <w:r>
              <w:t xml:space="preserve">% wartość wydatkowanych kwalifikowalnych poniesionych w projekcie w stosunku do wartości umowy/porozumienia o dofinansowanie w części środków kwalifikowalnych: </w:t>
            </w:r>
            <w:r w:rsidR="00A24FE8" w:rsidRPr="00A24FE8">
              <w:rPr>
                <w:rFonts w:ascii="Calibri" w:hAnsi="Calibri" w:cs="Calibri"/>
                <w:b/>
              </w:rPr>
              <w:t>4,90%</w:t>
            </w:r>
            <w:r w:rsidR="00A24FE8">
              <w:rPr>
                <w:rFonts w:ascii="Calibri" w:hAnsi="Calibri" w:cs="Calibri"/>
              </w:rPr>
              <w:t xml:space="preserve"> </w:t>
            </w:r>
          </w:p>
          <w:p w:rsidR="00A24FE8" w:rsidRDefault="00A24FE8">
            <w:pPr>
              <w:spacing w:after="0" w:line="240" w:lineRule="auto"/>
            </w:pPr>
            <w:r>
              <w:rPr>
                <w:rFonts w:ascii="Calibri" w:hAnsi="Calibri" w:cs="Calibri"/>
              </w:rPr>
              <w:t>(</w:t>
            </w:r>
            <w:r w:rsidRPr="00A24FE8">
              <w:t xml:space="preserve">1 488 734,58 zł / </w:t>
            </w:r>
          </w:p>
          <w:p w:rsidR="00E16652" w:rsidRPr="00A24FE8" w:rsidRDefault="00A24FE8">
            <w:pPr>
              <w:spacing w:after="0" w:line="240" w:lineRule="auto"/>
              <w:rPr>
                <w:rFonts w:ascii="Calibri" w:hAnsi="Calibri" w:cs="Calibri"/>
              </w:rPr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</w:tc>
        <w:tc>
          <w:tcPr>
            <w:tcW w:w="3402" w:type="dxa"/>
          </w:tcPr>
          <w:p w:rsidR="00A24FE8" w:rsidRDefault="009B1200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:rsidR="00A24FE8" w:rsidRPr="00A24FE8" w:rsidRDefault="00A24FE8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A24FE8">
              <w:rPr>
                <w:rFonts w:ascii="Calibri" w:hAnsi="Calibri" w:cs="Calibri"/>
                <w:b/>
              </w:rPr>
              <w:t xml:space="preserve">4,90% </w:t>
            </w:r>
          </w:p>
          <w:p w:rsidR="00A24FE8" w:rsidRDefault="00A24FE8">
            <w:pPr>
              <w:spacing w:after="0" w:line="240" w:lineRule="auto"/>
            </w:pPr>
            <w:r>
              <w:rPr>
                <w:rFonts w:ascii="Calibri" w:hAnsi="Calibri" w:cs="Calibri"/>
              </w:rPr>
              <w:t>(</w:t>
            </w:r>
            <w:r w:rsidRPr="00A24FE8">
              <w:t xml:space="preserve">1 488 734,58 zł / </w:t>
            </w:r>
          </w:p>
          <w:p w:rsidR="00745930" w:rsidRDefault="00A24FE8">
            <w:pPr>
              <w:spacing w:after="0" w:line="240" w:lineRule="auto"/>
            </w:pPr>
            <w:r w:rsidRPr="009220C9">
              <w:t>30</w:t>
            </w:r>
            <w:r>
              <w:t> </w:t>
            </w:r>
            <w:r w:rsidRPr="009220C9">
              <w:t>362</w:t>
            </w:r>
            <w:r>
              <w:t xml:space="preserve"> </w:t>
            </w:r>
            <w:r w:rsidRPr="009220C9">
              <w:t>077,79</w:t>
            </w:r>
            <w:r>
              <w:t xml:space="preserve"> zł)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74593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745930" w:rsidRDefault="009B1200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745930" w:rsidRDefault="009B120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  <w:r w:rsidR="00EF6F5F" w:rsidRPr="00EF6F5F">
        <w:rPr>
          <w:rFonts w:ascii="Arial" w:hAnsi="Arial" w:cs="Arial"/>
          <w:sz w:val="20"/>
          <w:szCs w:val="20"/>
        </w:rPr>
        <w:t xml:space="preserve"> –</w:t>
      </w:r>
      <w:r w:rsidR="00EF6F5F">
        <w:rPr>
          <w:rFonts w:ascii="Arial" w:hAnsi="Arial" w:cs="Arial"/>
          <w:b/>
          <w:sz w:val="20"/>
          <w:szCs w:val="20"/>
        </w:rPr>
        <w:t xml:space="preserve"> </w:t>
      </w:r>
      <w:r w:rsidR="00EF6F5F">
        <w:t xml:space="preserve">zgodnie z danymi zawartymi w umowie o dofinansowanie nr </w:t>
      </w:r>
      <w:r w:rsidR="00EF6F5F" w:rsidRPr="00EF6F5F">
        <w:t>POWR.02.11.00-00-001/20 z dnia 30.07.2020 r.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74593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 w:rsidR="00EF6F5F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</w:p>
        </w:tc>
      </w:tr>
      <w:tr w:rsidR="00E16652" w:rsidTr="00FA01A8">
        <w:tc>
          <w:tcPr>
            <w:tcW w:w="2127" w:type="dxa"/>
            <w:vAlign w:val="bottom"/>
          </w:tcPr>
          <w:p w:rsidR="00E16652" w:rsidRDefault="00E16652" w:rsidP="00E16652">
            <w:pPr>
              <w:spacing w:after="0" w:line="240" w:lineRule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652" w:rsidRDefault="00B74CEC" w:rsidP="00E16652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E16652" w:rsidRPr="00E16652" w:rsidRDefault="00E16652" w:rsidP="00E16652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E16652" w:rsidRDefault="00E16652" w:rsidP="00E1665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E16652" w:rsidRPr="00AA4A85" w:rsidRDefault="00AA4A85" w:rsidP="00E16652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AA4A85" w:rsidTr="00FA01A8">
        <w:tc>
          <w:tcPr>
            <w:tcW w:w="2127" w:type="dxa"/>
            <w:vAlign w:val="bottom"/>
          </w:tcPr>
          <w:p w:rsidR="00AA4A85" w:rsidRDefault="00AA4A85" w:rsidP="00AA4A85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05-2021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AA4A85" w:rsidTr="00FA01A8">
        <w:tc>
          <w:tcPr>
            <w:tcW w:w="2127" w:type="dxa"/>
            <w:vAlign w:val="bottom"/>
          </w:tcPr>
          <w:p w:rsidR="00AA4A85" w:rsidRDefault="00AA4A85" w:rsidP="000652AA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Sprawozdanie śródokresowe ze współ</w:t>
            </w:r>
            <w:r>
              <w:rPr>
                <w:rFonts w:ascii="Calibri" w:hAnsi="Calibri" w:cs="Calibri"/>
                <w:color w:val="000000"/>
              </w:rPr>
              <w:lastRenderedPageBreak/>
              <w:t>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85" w:rsidRDefault="00B74CEC" w:rsidP="00AA4A85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:rsidR="00AA4A85" w:rsidRPr="00E16652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10-2021</w:t>
            </w:r>
          </w:p>
        </w:tc>
        <w:tc>
          <w:tcPr>
            <w:tcW w:w="1914" w:type="dxa"/>
          </w:tcPr>
          <w:p w:rsidR="00AA4A85" w:rsidRDefault="00AA4A85" w:rsidP="00AA4A8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AA4A85" w:rsidRPr="00AA4A85" w:rsidRDefault="00AA4A85" w:rsidP="00AA4A85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W trakcie realizacji</w:t>
            </w:r>
          </w:p>
        </w:tc>
      </w:tr>
      <w:tr w:rsidR="000652AA" w:rsidTr="00A24FE8">
        <w:tc>
          <w:tcPr>
            <w:tcW w:w="2127" w:type="dxa"/>
          </w:tcPr>
          <w:p w:rsidR="000652AA" w:rsidRDefault="000652AA" w:rsidP="00A24FE8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652AA">
              <w:rPr>
                <w:rFonts w:ascii="Calibri" w:hAnsi="Calibri" w:cs="Calibri"/>
                <w:color w:val="000000"/>
              </w:rPr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2AA" w:rsidRDefault="00B74CEC" w:rsidP="000652A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0652AA" w:rsidRPr="00E16652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E16652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2</w:t>
            </w:r>
            <w:r w:rsidRPr="00E16652">
              <w:rPr>
                <w:rFonts w:eastAsia="Times New Roman"/>
              </w:rPr>
              <w:t>-2021</w:t>
            </w:r>
          </w:p>
        </w:tc>
        <w:tc>
          <w:tcPr>
            <w:tcW w:w="1914" w:type="dxa"/>
          </w:tcPr>
          <w:p w:rsidR="000652AA" w:rsidRDefault="000652AA" w:rsidP="000652A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0652AA" w:rsidRPr="00AA4A85" w:rsidRDefault="000652AA" w:rsidP="000652AA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B74CEC" w:rsidRPr="00AA4A85" w:rsidRDefault="00B74CEC" w:rsidP="00B74CEC">
            <w:pPr>
              <w:spacing w:after="0" w:line="240" w:lineRule="auto"/>
              <w:rPr>
                <w:rFonts w:eastAsia="Times New Roman"/>
              </w:rPr>
            </w:pPr>
            <w:r w:rsidRPr="00AA4A85"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Pr="00AA4A85" w:rsidRDefault="00B74CEC" w:rsidP="00B74CEC">
            <w:pPr>
              <w:rPr>
                <w:rFonts w:ascii="Calibri" w:hAnsi="Calibri" w:cs="Calibri"/>
                <w:color w:val="000000"/>
              </w:rPr>
            </w:pPr>
            <w:r w:rsidRPr="00AA4A85">
              <w:rPr>
                <w:rFonts w:ascii="Calibri" w:hAnsi="Calibri" w:cs="Calibri"/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04-2022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  <w:tr w:rsidR="00B74CEC" w:rsidTr="00FA01A8">
        <w:tc>
          <w:tcPr>
            <w:tcW w:w="2127" w:type="dxa"/>
            <w:vAlign w:val="bottom"/>
          </w:tcPr>
          <w:p w:rsidR="00B74CEC" w:rsidRDefault="00B74CEC" w:rsidP="00B74CE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CEC" w:rsidRDefault="00B74CEC" w:rsidP="00B74CE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B74CEC" w:rsidRDefault="00B74CEC" w:rsidP="00B74CEC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>
              <w:rPr>
                <w:rFonts w:eastAsia="Times New Roman"/>
              </w:rPr>
              <w:t>05-2022</w:t>
            </w:r>
          </w:p>
        </w:tc>
        <w:tc>
          <w:tcPr>
            <w:tcW w:w="1914" w:type="dxa"/>
          </w:tcPr>
          <w:p w:rsidR="00B74CEC" w:rsidRDefault="00B74CEC" w:rsidP="00B74CEC">
            <w:pPr>
              <w:pStyle w:val="Akapitzlist"/>
              <w:spacing w:after="0" w:line="240" w:lineRule="auto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4CEC" w:rsidRDefault="00B74CEC" w:rsidP="00B74CE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Planowany</w:t>
            </w:r>
          </w:p>
        </w:tc>
      </w:tr>
    </w:tbl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45930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B4FAC">
        <w:tc>
          <w:tcPr>
            <w:tcW w:w="2545" w:type="dxa"/>
          </w:tcPr>
          <w:p w:rsidR="00FB4FAC" w:rsidRPr="001E0F8E" w:rsidRDefault="00353C6A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(1) </w:t>
            </w:r>
            <w:r w:rsidR="00FB4FAC" w:rsidRPr="001E0F8E">
              <w:rPr>
                <w:iCs/>
              </w:rPr>
              <w:t>Zapewnienie funkcjonowania Zintegrowanego Rejestru Kwalifikacji,</w:t>
            </w:r>
          </w:p>
          <w:p w:rsidR="00FB4FAC" w:rsidRPr="001E0F8E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udostępniania jego zasobów i funkcjonalności za pośrednictwem różnych</w:t>
            </w:r>
          </w:p>
          <w:p w:rsidR="00FB4FAC" w:rsidRDefault="00FB4FAC" w:rsidP="00FB4FAC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 w:rsidRPr="001E0F8E">
              <w:rPr>
                <w:iCs/>
              </w:rPr>
              <w:t>kanałów komunikacji (portal, e-usługi i usługi API)</w:t>
            </w:r>
            <w:r w:rsidR="0010358E">
              <w:rPr>
                <w:iCs/>
              </w:rPr>
              <w:t xml:space="preserve">. KPI: </w:t>
            </w:r>
            <w:r w:rsidR="0010358E" w:rsidRPr="000652AA">
              <w:rPr>
                <w:iCs/>
              </w:rPr>
              <w:t>Liczba wejść na stronę kwalifikacje.gov.pl</w:t>
            </w:r>
          </w:p>
        </w:tc>
        <w:tc>
          <w:tcPr>
            <w:tcW w:w="1278" w:type="dxa"/>
          </w:tcPr>
          <w:p w:rsidR="00FB4FAC" w:rsidRDefault="00A24FE8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s</w:t>
            </w:r>
            <w:r w:rsidR="00FB4FA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zt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.</w:t>
            </w:r>
          </w:p>
        </w:tc>
        <w:tc>
          <w:tcPr>
            <w:tcW w:w="1842" w:type="dxa"/>
          </w:tcPr>
          <w:p w:rsidR="00FB4FAC" w:rsidRDefault="00FB4FAC" w:rsidP="00FB4FAC">
            <w:pPr>
              <w:spacing w:after="0" w:line="240" w:lineRule="auto"/>
            </w:pPr>
            <w:r>
              <w:t xml:space="preserve">750 </w:t>
            </w:r>
            <w:r w:rsidR="0010358E">
              <w:t>000</w:t>
            </w:r>
          </w:p>
        </w:tc>
        <w:tc>
          <w:tcPr>
            <w:tcW w:w="1701" w:type="dxa"/>
          </w:tcPr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1:</w:t>
            </w:r>
          </w:p>
          <w:p w:rsidR="00FB4FAC" w:rsidRDefault="00FB4FA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-202</w:t>
            </w:r>
            <w:r w:rsidR="0030250C"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2</w:t>
            </w:r>
          </w:p>
          <w:p w:rsidR="00CF5B91" w:rsidRPr="00CF5B91" w:rsidRDefault="00CF5B91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p</w:t>
            </w:r>
            <w:r w:rsidRPr="00CF5B91">
              <w:rPr>
                <w:rFonts w:asciiTheme="minorHAnsi" w:eastAsiaTheme="minorHAnsi" w:hAnsiTheme="minorHAnsi" w:cstheme="minorBidi"/>
                <w:i/>
                <w:sz w:val="22"/>
                <w:szCs w:val="22"/>
                <w:lang w:val="pl-PL"/>
              </w:rPr>
              <w:t>omiar 2:</w:t>
            </w:r>
          </w:p>
          <w:p w:rsidR="0030250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12-2022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  <w:tr w:rsidR="00FB4FAC">
        <w:tc>
          <w:tcPr>
            <w:tcW w:w="2545" w:type="dxa"/>
          </w:tcPr>
          <w:p w:rsidR="00FB4FAC" w:rsidRDefault="00353C6A" w:rsidP="0010358E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(2) </w:t>
            </w:r>
            <w:r w:rsidR="0010358E" w:rsidRPr="0010358E">
              <w:rPr>
                <w:iCs/>
              </w:rPr>
              <w:t>Usprawnienie procesów opisywania kwalifikacji w języku efektów uczenia się i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 xml:space="preserve">przypisywania </w:t>
            </w:r>
            <w:r w:rsidR="0010358E" w:rsidRPr="0010358E">
              <w:rPr>
                <w:iCs/>
              </w:rPr>
              <w:lastRenderedPageBreak/>
              <w:t>poziomu PRK do kwalifikacji za pomocą narzędzi AI</w:t>
            </w:r>
            <w:r w:rsidR="0010358E">
              <w:rPr>
                <w:iCs/>
              </w:rPr>
              <w:t xml:space="preserve">. KPI: </w:t>
            </w:r>
            <w:r w:rsidR="0010358E" w:rsidRPr="0010358E">
              <w:rPr>
                <w:iCs/>
              </w:rPr>
              <w:t>skrócenie czasu obsługi opisu kwalifikacji i przypisania poziomu PRK do</w:t>
            </w:r>
            <w:r w:rsidR="0010358E">
              <w:rPr>
                <w:iCs/>
              </w:rPr>
              <w:t xml:space="preserve"> </w:t>
            </w:r>
            <w:r w:rsidR="0010358E" w:rsidRPr="0010358E">
              <w:rPr>
                <w:iCs/>
              </w:rPr>
              <w:t>kwalifikacji</w:t>
            </w:r>
            <w:r w:rsidR="0010358E">
              <w:rPr>
                <w:iCs/>
              </w:rPr>
              <w:t>.</w:t>
            </w:r>
          </w:p>
        </w:tc>
        <w:tc>
          <w:tcPr>
            <w:tcW w:w="1278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lastRenderedPageBreak/>
              <w:t>procent</w:t>
            </w:r>
          </w:p>
        </w:tc>
        <w:tc>
          <w:tcPr>
            <w:tcW w:w="1842" w:type="dxa"/>
          </w:tcPr>
          <w:p w:rsidR="00FB4FAC" w:rsidRDefault="0030250C" w:rsidP="00FB4FAC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:rsidR="00FB4FAC" w:rsidRDefault="0030250C" w:rsidP="00FB4FAC">
            <w:pPr>
              <w:pStyle w:val="Tekstpodstawowy2"/>
              <w:spacing w:after="0" w:line="259" w:lineRule="auto"/>
              <w:ind w:left="34"/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pl-PL"/>
              </w:rPr>
              <w:t>03-2023</w:t>
            </w:r>
          </w:p>
        </w:tc>
        <w:tc>
          <w:tcPr>
            <w:tcW w:w="2268" w:type="dxa"/>
          </w:tcPr>
          <w:p w:rsidR="00FB4FAC" w:rsidRDefault="00FB4FAC" w:rsidP="00FB4FAC">
            <w:pPr>
              <w:spacing w:after="0" w:line="240" w:lineRule="auto"/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3"/>
        <w:gridCol w:w="1182"/>
        <w:gridCol w:w="1133"/>
        <w:gridCol w:w="4386"/>
      </w:tblGrid>
      <w:tr w:rsidR="00745930" w:rsidTr="006E4827">
        <w:trPr>
          <w:tblHeader/>
        </w:trPr>
        <w:tc>
          <w:tcPr>
            <w:tcW w:w="293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5930" w:rsidTr="006E4827">
        <w:tc>
          <w:tcPr>
            <w:tcW w:w="2933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eastAsia="Times New Roman"/>
              </w:rPr>
              <w:t>A</w:t>
            </w:r>
            <w:r w:rsidRPr="006E4827">
              <w:rPr>
                <w:rFonts w:eastAsia="Times New Roman"/>
              </w:rPr>
              <w:t>utomatyczne wspomaganie doradztwa</w:t>
            </w:r>
          </w:p>
        </w:tc>
        <w:tc>
          <w:tcPr>
            <w:tcW w:w="1182" w:type="dxa"/>
          </w:tcPr>
          <w:p w:rsidR="00745930" w:rsidRDefault="006E4827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05-2022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3" w:type="dxa"/>
          </w:tcPr>
          <w:p w:rsidR="00820742" w:rsidRDefault="00820742" w:rsidP="006E4827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4386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45930" w:rsidRDefault="009B1200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24FE8" w:rsidRPr="00A24FE8" w:rsidRDefault="00A24FE8" w:rsidP="00A24FE8">
      <w:pPr>
        <w:ind w:firstLine="284"/>
        <w:rPr>
          <w:rFonts w:cstheme="minorHAnsi"/>
          <w:i/>
          <w:sz w:val="20"/>
        </w:rPr>
      </w:pPr>
      <w:r w:rsidRPr="00A24FE8">
        <w:rPr>
          <w:rStyle w:val="Nagwek3Znak"/>
          <w:rFonts w:asciiTheme="minorHAnsi" w:eastAsiaTheme="minorHAnsi" w:hAnsiTheme="minorHAnsi" w:cstheme="minorHAnsi"/>
          <w:i/>
          <w:color w:val="auto"/>
          <w:sz w:val="22"/>
        </w:rPr>
        <w:t>Nie dotyczy</w:t>
      </w:r>
    </w:p>
    <w:p w:rsidR="00745930" w:rsidRDefault="009B1200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745930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745930" w:rsidRDefault="009B120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745930" w:rsidRDefault="0074593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5930">
        <w:tc>
          <w:tcPr>
            <w:tcW w:w="2547" w:type="dxa"/>
          </w:tcPr>
          <w:p w:rsidR="00745930" w:rsidRDefault="006E482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</w:t>
            </w:r>
            <w:r w:rsidRPr="006E4827">
              <w:t>rzeglądarka ram kwalifikacji (PRK, SRK)</w:t>
            </w:r>
          </w:p>
        </w:tc>
        <w:tc>
          <w:tcPr>
            <w:tcW w:w="1701" w:type="dxa"/>
          </w:tcPr>
          <w:p w:rsidR="006E4827" w:rsidRPr="006E4827" w:rsidRDefault="009B1200">
            <w:pPr>
              <w:spacing w:after="0" w:line="240" w:lineRule="auto"/>
            </w:pPr>
            <w:r>
              <w:t>1</w:t>
            </w:r>
            <w:r w:rsidR="006E4827">
              <w:t>2</w:t>
            </w:r>
            <w:r>
              <w:t>-202</w:t>
            </w:r>
            <w:r w:rsidR="006E4827">
              <w:t>1</w:t>
            </w:r>
          </w:p>
        </w:tc>
        <w:tc>
          <w:tcPr>
            <w:tcW w:w="1843" w:type="dxa"/>
          </w:tcPr>
          <w:p w:rsidR="00745930" w:rsidRDefault="007459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5930" w:rsidRPr="00491305" w:rsidRDefault="00491305" w:rsidP="00491305">
            <w:pPr>
              <w:spacing w:after="0" w:line="240" w:lineRule="auto"/>
              <w:rPr>
                <w:rFonts w:ascii="Arial" w:eastAsia="Times New Roman" w:hAnsi="Arial" w:cs="Arial"/>
                <w:i/>
                <w:color w:val="222222"/>
                <w:sz w:val="24"/>
                <w:szCs w:val="24"/>
                <w:lang w:eastAsia="pl-PL"/>
              </w:rPr>
            </w:pPr>
            <w:r w:rsidRPr="00491305">
              <w:rPr>
                <w:i/>
              </w:rPr>
              <w:t>Nie dotyczy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745930" w:rsidRDefault="009B120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413"/>
        <w:gridCol w:w="1843"/>
        <w:gridCol w:w="2977"/>
      </w:tblGrid>
      <w:tr w:rsidR="00745930" w:rsidTr="00C5274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745930" w:rsidRDefault="009B1200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z wybranymi</w:t>
            </w:r>
            <w:r>
              <w:t xml:space="preserve"> </w:t>
            </w:r>
            <w:r w:rsidRPr="00C5274B">
              <w:t>Wykonawcami</w:t>
            </w:r>
          </w:p>
        </w:tc>
        <w:tc>
          <w:tcPr>
            <w:tcW w:w="1413" w:type="dxa"/>
          </w:tcPr>
          <w:p w:rsidR="00C5274B" w:rsidRDefault="00C5274B" w:rsidP="004E5D05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4E5D05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Zarządzanie ryzykiem polega na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monitorowaniu i raportowaniu postępu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prac. Każde ze zleceń zewnętrznych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(zamówienie, ogłoszenie) o wartości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przekraczającej 100 tys. zł będzie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oddzielnie traktowane jako „projekt z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własnym zarządzaniem” (komitet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sterujący, zespół projektowy, etapowanie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prac, umowa zabezpiecza</w:t>
            </w:r>
            <w:r w:rsidRPr="00C5274B">
              <w:rPr>
                <w:lang w:eastAsia="pl-PL"/>
              </w:rPr>
              <w:lastRenderedPageBreak/>
              <w:t>jąca terminy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płatności). Zabezpieczeniem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dodatkowym jest założony bezpieczny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termin wykonania zamówienia.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Modernizacja i nowopowstałe aplikacje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nie są od siebie zależne, wykonawcy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będą wyłaniani w oddzielnych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postępowaniach co minimalizuje ryzyko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związania się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z jednym niesolidnym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wykonawcą</w:t>
            </w:r>
            <w:r>
              <w:rPr>
                <w:lang w:eastAsia="pl-PL"/>
              </w:rPr>
              <w:t>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lastRenderedPageBreak/>
              <w:t>Ryzyko związane z</w:t>
            </w:r>
            <w:r>
              <w:t xml:space="preserve"> </w:t>
            </w:r>
            <w:r w:rsidRPr="00C5274B">
              <w:t>niedotrzymaniem</w:t>
            </w:r>
            <w:r>
              <w:t xml:space="preserve"> </w:t>
            </w:r>
            <w:r w:rsidRPr="00C5274B">
              <w:t>warunków umowy</w:t>
            </w:r>
            <w:r>
              <w:t xml:space="preserve"> </w:t>
            </w:r>
            <w:r w:rsidRPr="00C5274B">
              <w:t>przez dostawcę</w:t>
            </w:r>
            <w:r>
              <w:t xml:space="preserve"> </w:t>
            </w:r>
            <w:r w:rsidRPr="00C5274B">
              <w:t>usługi obliczeń w</w:t>
            </w:r>
            <w:r>
              <w:t xml:space="preserve"> </w:t>
            </w:r>
            <w:r w:rsidRPr="00C5274B">
              <w:t>chmurze (np.</w:t>
            </w:r>
            <w:r>
              <w:t xml:space="preserve"> </w:t>
            </w:r>
            <w:r w:rsidRPr="00C5274B">
              <w:t>ciągłość,</w:t>
            </w:r>
            <w:r>
              <w:t xml:space="preserve"> </w:t>
            </w:r>
            <w:r w:rsidRPr="00C5274B">
              <w:t>bezpieczeństwo)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IBE posiada na własnych serwerach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żywe kopie systemu co umożliwia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kontynuowanie funkcjonowania rejestru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po kilkugodzinnej przerwie.</w:t>
            </w:r>
          </w:p>
        </w:tc>
      </w:tr>
      <w:tr w:rsidR="00C5274B" w:rsidTr="00C5274B">
        <w:trPr>
          <w:trHeight w:val="724"/>
        </w:trPr>
        <w:tc>
          <w:tcPr>
            <w:tcW w:w="3265" w:type="dxa"/>
          </w:tcPr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Ryzyko związane z</w:t>
            </w:r>
            <w:r>
              <w:t xml:space="preserve"> </w:t>
            </w:r>
            <w:r w:rsidRPr="00C5274B">
              <w:t>niepowołanym</w:t>
            </w:r>
          </w:p>
          <w:p w:rsidR="00C5274B" w:rsidRPr="00C5274B" w:rsidRDefault="00C5274B" w:rsidP="00C5274B">
            <w:pPr>
              <w:spacing w:after="0" w:line="240" w:lineRule="auto"/>
              <w:jc w:val="both"/>
            </w:pPr>
            <w:r w:rsidRPr="00C5274B">
              <w:t>dostępem do</w:t>
            </w:r>
            <w:r>
              <w:t xml:space="preserve"> </w:t>
            </w:r>
            <w:r w:rsidRPr="00C5274B">
              <w:t>oprogramowania</w:t>
            </w:r>
            <w:r>
              <w:t xml:space="preserve"> </w:t>
            </w:r>
            <w:r w:rsidRPr="00C5274B">
              <w:t>rejestru</w:t>
            </w:r>
          </w:p>
        </w:tc>
        <w:tc>
          <w:tcPr>
            <w:tcW w:w="141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1843" w:type="dxa"/>
          </w:tcPr>
          <w:p w:rsidR="00C5274B" w:rsidRDefault="00C5274B" w:rsidP="00C5274B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</w:tc>
        <w:tc>
          <w:tcPr>
            <w:tcW w:w="2977" w:type="dxa"/>
          </w:tcPr>
          <w:p w:rsidR="00C5274B" w:rsidRPr="00C5274B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Rejestr nie przechowuje danych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wrażliwych ani innych danych poufnych.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Dostęp do systemu jest monitorowany,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sam system został przetestowany,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oprogramowanie systemowe jest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uaktualniane, wykonywane są kopie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bezpieczeństwa.</w:t>
            </w:r>
          </w:p>
        </w:tc>
      </w:tr>
      <w:tr w:rsidR="002C0BB1" w:rsidTr="00C5274B">
        <w:trPr>
          <w:trHeight w:val="724"/>
        </w:trPr>
        <w:tc>
          <w:tcPr>
            <w:tcW w:w="3265" w:type="dxa"/>
          </w:tcPr>
          <w:p w:rsidR="002C0BB1" w:rsidRPr="005B1AB1" w:rsidRDefault="002C0BB1" w:rsidP="002C0BB1">
            <w:r>
              <w:t>Ryzyko o</w:t>
            </w:r>
            <w:r w:rsidRPr="005B1AB1">
              <w:t>późnie</w:t>
            </w:r>
            <w:r>
              <w:t>ń</w:t>
            </w:r>
            <w:r w:rsidRPr="005B1AB1">
              <w:t xml:space="preserve"> związane </w:t>
            </w:r>
            <w:r>
              <w:br/>
            </w:r>
            <w:r w:rsidRPr="005B1AB1">
              <w:t>z COVID-19</w:t>
            </w:r>
          </w:p>
        </w:tc>
        <w:tc>
          <w:tcPr>
            <w:tcW w:w="1413" w:type="dxa"/>
          </w:tcPr>
          <w:p w:rsidR="002C0BB1" w:rsidRPr="005B1AB1" w:rsidRDefault="002C0BB1" w:rsidP="002C0BB1">
            <w:r w:rsidRPr="005B1AB1">
              <w:t>Wysoka</w:t>
            </w:r>
          </w:p>
        </w:tc>
        <w:tc>
          <w:tcPr>
            <w:tcW w:w="1843" w:type="dxa"/>
          </w:tcPr>
          <w:p w:rsidR="002C0BB1" w:rsidRPr="005B1AB1" w:rsidRDefault="002C0BB1" w:rsidP="002C0BB1">
            <w:r w:rsidRPr="005B1AB1">
              <w:t>Średnie</w:t>
            </w:r>
          </w:p>
        </w:tc>
        <w:tc>
          <w:tcPr>
            <w:tcW w:w="2977" w:type="dxa"/>
          </w:tcPr>
          <w:p w:rsidR="002C0BB1" w:rsidRPr="005B1AB1" w:rsidRDefault="002C0BB1" w:rsidP="002C0BB1">
            <w:r w:rsidRPr="005B1AB1">
              <w:t>Dostosowanie do modelu pracy zdalnej w zespołach poszczególnych zadań projektu. Ograniczenie ryzyka zakażeń. Przyjęcie dodatkowych buforów czasu w procesie planowania.</w:t>
            </w:r>
            <w:r>
              <w:t xml:space="preserve"> R</w:t>
            </w:r>
            <w:r w:rsidRPr="005B1AB1">
              <w:t>ealizacja zadań projektu zgodnie z przyjętym harmonogramem.</w:t>
            </w:r>
          </w:p>
        </w:tc>
      </w:tr>
      <w:tr w:rsidR="00CF5B91" w:rsidTr="00C5274B">
        <w:trPr>
          <w:trHeight w:val="724"/>
        </w:trPr>
        <w:tc>
          <w:tcPr>
            <w:tcW w:w="3265" w:type="dxa"/>
          </w:tcPr>
          <w:p w:rsidR="00CF5B91" w:rsidRPr="005B1AB1" w:rsidRDefault="00CF5B91" w:rsidP="00CF5B91">
            <w:r w:rsidRPr="005B1AB1">
              <w:t>Ograniczenia w dostępności kadry</w:t>
            </w:r>
          </w:p>
        </w:tc>
        <w:tc>
          <w:tcPr>
            <w:tcW w:w="1413" w:type="dxa"/>
          </w:tcPr>
          <w:p w:rsidR="00CF5B91" w:rsidRPr="005B1AB1" w:rsidRDefault="00CF5B91" w:rsidP="00CF5B91">
            <w:r w:rsidRPr="005B1AB1">
              <w:t>Wysoka</w:t>
            </w:r>
          </w:p>
        </w:tc>
        <w:tc>
          <w:tcPr>
            <w:tcW w:w="1843" w:type="dxa"/>
          </w:tcPr>
          <w:p w:rsidR="00CF5B91" w:rsidRPr="005B1AB1" w:rsidRDefault="00CF5B91" w:rsidP="00CF5B91">
            <w:r w:rsidRPr="005B1AB1">
              <w:t>Średnie</w:t>
            </w:r>
          </w:p>
        </w:tc>
        <w:tc>
          <w:tcPr>
            <w:tcW w:w="2977" w:type="dxa"/>
          </w:tcPr>
          <w:p w:rsidR="00CF5B91" w:rsidRPr="005B1AB1" w:rsidRDefault="00CF5B91" w:rsidP="00CF5B91">
            <w:r w:rsidRPr="005B1AB1">
              <w:t>Zapewnienie wsparcia szkoleniowego oraz odpowiedniego funduszu wynagrodzeń.</w:t>
            </w:r>
            <w:r>
              <w:t xml:space="preserve"> Z</w:t>
            </w:r>
            <w:r w:rsidRPr="005B1AB1">
              <w:t>apewnienie odpowiednich zasobów ludzkich do realizacji zadań projektu.</w:t>
            </w:r>
          </w:p>
        </w:tc>
      </w:tr>
    </w:tbl>
    <w:p w:rsidR="00820742" w:rsidRDefault="0082074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745930" w:rsidRDefault="009B1200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2125"/>
        <w:gridCol w:w="2693"/>
      </w:tblGrid>
      <w:tr w:rsidR="00745930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45930" w:rsidRDefault="009B120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5930">
        <w:trPr>
          <w:trHeight w:val="724"/>
        </w:trPr>
        <w:tc>
          <w:tcPr>
            <w:tcW w:w="3261" w:type="dxa"/>
            <w:shd w:val="clear" w:color="auto" w:fill="auto"/>
          </w:tcPr>
          <w:p w:rsidR="00745930" w:rsidRDefault="00C5274B" w:rsidP="00C5274B">
            <w:pPr>
              <w:spacing w:after="0" w:line="240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74B">
              <w:t>Niezasilanie ZRK</w:t>
            </w:r>
            <w:r>
              <w:t xml:space="preserve"> </w:t>
            </w:r>
            <w:r w:rsidRPr="00C5274B">
              <w:t>danymi z</w:t>
            </w:r>
            <w:r>
              <w:t xml:space="preserve"> </w:t>
            </w:r>
            <w:r w:rsidRPr="00C5274B">
              <w:t>systemów</w:t>
            </w:r>
            <w:r>
              <w:t xml:space="preserve"> </w:t>
            </w:r>
            <w:r w:rsidRPr="00C5274B">
              <w:t>szkolnictwa</w:t>
            </w:r>
            <w:r>
              <w:t xml:space="preserve"> </w:t>
            </w:r>
            <w:r w:rsidRPr="00C5274B">
              <w:t>wyższego i</w:t>
            </w:r>
            <w:r>
              <w:t xml:space="preserve"> </w:t>
            </w:r>
            <w:r w:rsidRPr="00C5274B">
              <w:t>oświaty</w:t>
            </w:r>
          </w:p>
        </w:tc>
        <w:tc>
          <w:tcPr>
            <w:tcW w:w="1701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745930" w:rsidRDefault="009B1200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5930" w:rsidRDefault="00C5274B" w:rsidP="00C5274B">
            <w:pPr>
              <w:rPr>
                <w:lang w:eastAsia="pl-PL"/>
              </w:rPr>
            </w:pPr>
            <w:r w:rsidRPr="00C5274B">
              <w:rPr>
                <w:lang w:eastAsia="pl-PL"/>
              </w:rPr>
              <w:t>Monitorowanie źródeł informacji i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informowanie z wyprzedzeniem ministra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- koordynatora ZSK, w celu podjęcia</w:t>
            </w:r>
            <w:r>
              <w:rPr>
                <w:lang w:eastAsia="pl-PL"/>
              </w:rPr>
              <w:t xml:space="preserve"> </w:t>
            </w:r>
            <w:r w:rsidRPr="00C5274B">
              <w:rPr>
                <w:lang w:eastAsia="pl-PL"/>
              </w:rPr>
              <w:t>interwencji na poziomie systemowym</w:t>
            </w:r>
          </w:p>
        </w:tc>
      </w:tr>
    </w:tbl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5930" w:rsidRDefault="009B1200">
      <w:pPr>
        <w:spacing w:after="0" w:line="240" w:lineRule="auto"/>
        <w:jc w:val="both"/>
      </w:pPr>
      <w:r>
        <w:t>Nie dotyczy</w:t>
      </w:r>
    </w:p>
    <w:p w:rsidR="00745930" w:rsidRDefault="009B1200">
      <w:pPr>
        <w:pStyle w:val="Akapitzlist"/>
        <w:numPr>
          <w:ilvl w:val="0"/>
          <w:numId w:val="2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  <w:bookmarkStart w:id="2" w:name="_Hlk18274129"/>
      <w:r>
        <w:t>Marek Kopyt, Instytut Badań Edukacyjnych, M.Kopyt@ibe.edu.pl, tel. +48601265143</w:t>
      </w:r>
      <w:bookmarkEnd w:id="2"/>
    </w:p>
    <w:sectPr w:rsidR="00745930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285" w:rsidRDefault="00F27285">
      <w:pPr>
        <w:spacing w:after="0" w:line="240" w:lineRule="auto"/>
      </w:pPr>
      <w:r>
        <w:separator/>
      </w:r>
    </w:p>
  </w:endnote>
  <w:endnote w:type="continuationSeparator" w:id="0">
    <w:p w:rsidR="00F27285" w:rsidRDefault="00F27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3607321"/>
    </w:sdtPr>
    <w:sdtEndPr/>
    <w:sdtContent>
      <w:sdt>
        <w:sdtPr>
          <w:id w:val="-1769616900"/>
        </w:sdtPr>
        <w:sdtEndPr/>
        <w:sdtContent>
          <w:p w:rsidR="00745930" w:rsidRDefault="009B12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45930" w:rsidRDefault="007459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285" w:rsidRDefault="00F27285">
      <w:pPr>
        <w:spacing w:after="0" w:line="240" w:lineRule="auto"/>
      </w:pPr>
      <w:r>
        <w:separator/>
      </w:r>
    </w:p>
  </w:footnote>
  <w:footnote w:type="continuationSeparator" w:id="0">
    <w:p w:rsidR="00F27285" w:rsidRDefault="00F27285">
      <w:pPr>
        <w:spacing w:after="0" w:line="240" w:lineRule="auto"/>
      </w:pPr>
      <w:r>
        <w:continuationSeparator/>
      </w:r>
    </w:p>
  </w:footnote>
  <w:footnote w:id="1">
    <w:p w:rsidR="00745930" w:rsidRDefault="009B1200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B6558"/>
    <w:multiLevelType w:val="multilevel"/>
    <w:tmpl w:val="42EB65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B5227"/>
    <w:multiLevelType w:val="multilevel"/>
    <w:tmpl w:val="662B522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6B77"/>
    <w:rsid w:val="00047D9D"/>
    <w:rsid w:val="0006403E"/>
    <w:rsid w:val="000652AA"/>
    <w:rsid w:val="00070663"/>
    <w:rsid w:val="00071880"/>
    <w:rsid w:val="00084E5B"/>
    <w:rsid w:val="00087231"/>
    <w:rsid w:val="00092A85"/>
    <w:rsid w:val="00095944"/>
    <w:rsid w:val="000A1DFB"/>
    <w:rsid w:val="000A2F32"/>
    <w:rsid w:val="000A3938"/>
    <w:rsid w:val="000B059E"/>
    <w:rsid w:val="000B3E49"/>
    <w:rsid w:val="000C5307"/>
    <w:rsid w:val="000E0060"/>
    <w:rsid w:val="000E1828"/>
    <w:rsid w:val="000E4BF8"/>
    <w:rsid w:val="000F20A9"/>
    <w:rsid w:val="000F307B"/>
    <w:rsid w:val="000F30B9"/>
    <w:rsid w:val="0010358E"/>
    <w:rsid w:val="00110375"/>
    <w:rsid w:val="00112A6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7055"/>
    <w:rsid w:val="00157A88"/>
    <w:rsid w:val="00163EBB"/>
    <w:rsid w:val="00176FBB"/>
    <w:rsid w:val="00181E97"/>
    <w:rsid w:val="00182A08"/>
    <w:rsid w:val="001847EB"/>
    <w:rsid w:val="00187C5B"/>
    <w:rsid w:val="001A105B"/>
    <w:rsid w:val="001A2EF2"/>
    <w:rsid w:val="001C2D74"/>
    <w:rsid w:val="001C7FAC"/>
    <w:rsid w:val="001D167C"/>
    <w:rsid w:val="001E0CAC"/>
    <w:rsid w:val="001E0F8E"/>
    <w:rsid w:val="001E16A3"/>
    <w:rsid w:val="001E1DEA"/>
    <w:rsid w:val="001E63DA"/>
    <w:rsid w:val="001E7199"/>
    <w:rsid w:val="001F24A0"/>
    <w:rsid w:val="001F67EC"/>
    <w:rsid w:val="0020330A"/>
    <w:rsid w:val="002140F8"/>
    <w:rsid w:val="00237279"/>
    <w:rsid w:val="00240D69"/>
    <w:rsid w:val="00241B5E"/>
    <w:rsid w:val="00252087"/>
    <w:rsid w:val="00263392"/>
    <w:rsid w:val="00265194"/>
    <w:rsid w:val="00271830"/>
    <w:rsid w:val="00271919"/>
    <w:rsid w:val="00276C00"/>
    <w:rsid w:val="002825F1"/>
    <w:rsid w:val="00293351"/>
    <w:rsid w:val="00294349"/>
    <w:rsid w:val="002A2313"/>
    <w:rsid w:val="002A3C02"/>
    <w:rsid w:val="002A5452"/>
    <w:rsid w:val="002B4889"/>
    <w:rsid w:val="002B50C0"/>
    <w:rsid w:val="002B64B1"/>
    <w:rsid w:val="002B6F21"/>
    <w:rsid w:val="002C0BB1"/>
    <w:rsid w:val="002D3D4A"/>
    <w:rsid w:val="002D5F58"/>
    <w:rsid w:val="002D7ADA"/>
    <w:rsid w:val="002E2FAF"/>
    <w:rsid w:val="002E567A"/>
    <w:rsid w:val="002F29A3"/>
    <w:rsid w:val="0030196F"/>
    <w:rsid w:val="0030250C"/>
    <w:rsid w:val="00302775"/>
    <w:rsid w:val="00304D04"/>
    <w:rsid w:val="00310D8E"/>
    <w:rsid w:val="003221F2"/>
    <w:rsid w:val="00322614"/>
    <w:rsid w:val="0032775D"/>
    <w:rsid w:val="00332871"/>
    <w:rsid w:val="00334A24"/>
    <w:rsid w:val="00335E87"/>
    <w:rsid w:val="003410FE"/>
    <w:rsid w:val="00345498"/>
    <w:rsid w:val="003508E7"/>
    <w:rsid w:val="00353C6A"/>
    <w:rsid w:val="003542F1"/>
    <w:rsid w:val="00356A3E"/>
    <w:rsid w:val="003642B8"/>
    <w:rsid w:val="00371942"/>
    <w:rsid w:val="00392919"/>
    <w:rsid w:val="003A4115"/>
    <w:rsid w:val="003B5B7A"/>
    <w:rsid w:val="003C7325"/>
    <w:rsid w:val="003D01EC"/>
    <w:rsid w:val="003D658F"/>
    <w:rsid w:val="003D7DD0"/>
    <w:rsid w:val="003E3144"/>
    <w:rsid w:val="003F29D0"/>
    <w:rsid w:val="00405EA4"/>
    <w:rsid w:val="0041034F"/>
    <w:rsid w:val="004118A3"/>
    <w:rsid w:val="00423A26"/>
    <w:rsid w:val="00425046"/>
    <w:rsid w:val="004350B8"/>
    <w:rsid w:val="00444AAB"/>
    <w:rsid w:val="00450089"/>
    <w:rsid w:val="00453C89"/>
    <w:rsid w:val="004559E6"/>
    <w:rsid w:val="004729D1"/>
    <w:rsid w:val="00486755"/>
    <w:rsid w:val="00491305"/>
    <w:rsid w:val="004A1B91"/>
    <w:rsid w:val="004A21B3"/>
    <w:rsid w:val="004B6F7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1649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E14"/>
    <w:rsid w:val="005D6E12"/>
    <w:rsid w:val="005E0ED8"/>
    <w:rsid w:val="005E6ABD"/>
    <w:rsid w:val="005F41FA"/>
    <w:rsid w:val="00600AE4"/>
    <w:rsid w:val="006054AA"/>
    <w:rsid w:val="0062015D"/>
    <w:rsid w:val="0062054D"/>
    <w:rsid w:val="006334BF"/>
    <w:rsid w:val="00635A54"/>
    <w:rsid w:val="006454CE"/>
    <w:rsid w:val="00652543"/>
    <w:rsid w:val="00660CC6"/>
    <w:rsid w:val="00661A62"/>
    <w:rsid w:val="0066510D"/>
    <w:rsid w:val="006731D9"/>
    <w:rsid w:val="0067393E"/>
    <w:rsid w:val="006822BC"/>
    <w:rsid w:val="006948D3"/>
    <w:rsid w:val="006A60AA"/>
    <w:rsid w:val="006B034F"/>
    <w:rsid w:val="006B3B3D"/>
    <w:rsid w:val="006B5117"/>
    <w:rsid w:val="006C78AE"/>
    <w:rsid w:val="006D45AD"/>
    <w:rsid w:val="006D6F4B"/>
    <w:rsid w:val="006E0285"/>
    <w:rsid w:val="006E0CFA"/>
    <w:rsid w:val="006E4827"/>
    <w:rsid w:val="006E6205"/>
    <w:rsid w:val="00701800"/>
    <w:rsid w:val="007064FD"/>
    <w:rsid w:val="00725019"/>
    <w:rsid w:val="00725708"/>
    <w:rsid w:val="00740A47"/>
    <w:rsid w:val="00745930"/>
    <w:rsid w:val="00746ABD"/>
    <w:rsid w:val="0077418F"/>
    <w:rsid w:val="00775C44"/>
    <w:rsid w:val="00776802"/>
    <w:rsid w:val="0078594B"/>
    <w:rsid w:val="007924CE"/>
    <w:rsid w:val="00795AFA"/>
    <w:rsid w:val="007A4742"/>
    <w:rsid w:val="007A5539"/>
    <w:rsid w:val="007A796B"/>
    <w:rsid w:val="007B0251"/>
    <w:rsid w:val="007C2F7E"/>
    <w:rsid w:val="007C6235"/>
    <w:rsid w:val="007C70D1"/>
    <w:rsid w:val="007D1990"/>
    <w:rsid w:val="007D2C34"/>
    <w:rsid w:val="007D38BD"/>
    <w:rsid w:val="007D3F21"/>
    <w:rsid w:val="007D7426"/>
    <w:rsid w:val="007E341A"/>
    <w:rsid w:val="007F126F"/>
    <w:rsid w:val="00803FBE"/>
    <w:rsid w:val="00805178"/>
    <w:rsid w:val="00806134"/>
    <w:rsid w:val="00820742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0922"/>
    <w:rsid w:val="008F2D9B"/>
    <w:rsid w:val="008F67EE"/>
    <w:rsid w:val="009034F4"/>
    <w:rsid w:val="00907F6D"/>
    <w:rsid w:val="00911190"/>
    <w:rsid w:val="0091332C"/>
    <w:rsid w:val="009220C9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49B2"/>
    <w:rsid w:val="00975293"/>
    <w:rsid w:val="00976434"/>
    <w:rsid w:val="00992EA3"/>
    <w:rsid w:val="009967CA"/>
    <w:rsid w:val="009A17FF"/>
    <w:rsid w:val="009B1200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2087"/>
    <w:rsid w:val="00A24FE8"/>
    <w:rsid w:val="00A30847"/>
    <w:rsid w:val="00A36AE2"/>
    <w:rsid w:val="00A43E49"/>
    <w:rsid w:val="00A44EA2"/>
    <w:rsid w:val="00A56D63"/>
    <w:rsid w:val="00A67685"/>
    <w:rsid w:val="00A728AE"/>
    <w:rsid w:val="00A804AE"/>
    <w:rsid w:val="00A81BAB"/>
    <w:rsid w:val="00A86449"/>
    <w:rsid w:val="00A87C1C"/>
    <w:rsid w:val="00A90435"/>
    <w:rsid w:val="00A92887"/>
    <w:rsid w:val="00AA4A85"/>
    <w:rsid w:val="00AA4CAB"/>
    <w:rsid w:val="00AA51AD"/>
    <w:rsid w:val="00AA730D"/>
    <w:rsid w:val="00AB2E01"/>
    <w:rsid w:val="00AC7E26"/>
    <w:rsid w:val="00AD45BB"/>
    <w:rsid w:val="00AE1643"/>
    <w:rsid w:val="00AE33A0"/>
    <w:rsid w:val="00AE3A6C"/>
    <w:rsid w:val="00AF09B8"/>
    <w:rsid w:val="00AF567D"/>
    <w:rsid w:val="00B165CB"/>
    <w:rsid w:val="00B17709"/>
    <w:rsid w:val="00B210CC"/>
    <w:rsid w:val="00B23828"/>
    <w:rsid w:val="00B27EE9"/>
    <w:rsid w:val="00B3073D"/>
    <w:rsid w:val="00B41415"/>
    <w:rsid w:val="00B440C3"/>
    <w:rsid w:val="00B46B7D"/>
    <w:rsid w:val="00B50560"/>
    <w:rsid w:val="00B5532F"/>
    <w:rsid w:val="00B64B3C"/>
    <w:rsid w:val="00B673C6"/>
    <w:rsid w:val="00B74859"/>
    <w:rsid w:val="00B74CEC"/>
    <w:rsid w:val="00B87D3D"/>
    <w:rsid w:val="00B91243"/>
    <w:rsid w:val="00B95F41"/>
    <w:rsid w:val="00BA481C"/>
    <w:rsid w:val="00BB059E"/>
    <w:rsid w:val="00BB18FD"/>
    <w:rsid w:val="00BB2420"/>
    <w:rsid w:val="00BB49AC"/>
    <w:rsid w:val="00BB5ACE"/>
    <w:rsid w:val="00BC1BD2"/>
    <w:rsid w:val="00BC6BE4"/>
    <w:rsid w:val="00BD6EDE"/>
    <w:rsid w:val="00BE47CD"/>
    <w:rsid w:val="00BE5BF9"/>
    <w:rsid w:val="00BF1E7D"/>
    <w:rsid w:val="00BF3118"/>
    <w:rsid w:val="00C1106C"/>
    <w:rsid w:val="00C122C4"/>
    <w:rsid w:val="00C21393"/>
    <w:rsid w:val="00C247F6"/>
    <w:rsid w:val="00C26361"/>
    <w:rsid w:val="00C302F1"/>
    <w:rsid w:val="00C3575F"/>
    <w:rsid w:val="00C42AEA"/>
    <w:rsid w:val="00C5274B"/>
    <w:rsid w:val="00C57985"/>
    <w:rsid w:val="00C6751B"/>
    <w:rsid w:val="00C778C7"/>
    <w:rsid w:val="00CA516B"/>
    <w:rsid w:val="00CC6E00"/>
    <w:rsid w:val="00CC7E21"/>
    <w:rsid w:val="00CD6229"/>
    <w:rsid w:val="00CE3459"/>
    <w:rsid w:val="00CE74F9"/>
    <w:rsid w:val="00CE7777"/>
    <w:rsid w:val="00CF26F8"/>
    <w:rsid w:val="00CF2E64"/>
    <w:rsid w:val="00CF5B91"/>
    <w:rsid w:val="00D02F6D"/>
    <w:rsid w:val="00D057C2"/>
    <w:rsid w:val="00D05B1A"/>
    <w:rsid w:val="00D22C21"/>
    <w:rsid w:val="00D25CFE"/>
    <w:rsid w:val="00D4607F"/>
    <w:rsid w:val="00D57025"/>
    <w:rsid w:val="00D57765"/>
    <w:rsid w:val="00D71322"/>
    <w:rsid w:val="00D77F50"/>
    <w:rsid w:val="00D859F4"/>
    <w:rsid w:val="00D85A52"/>
    <w:rsid w:val="00D86FEC"/>
    <w:rsid w:val="00D96403"/>
    <w:rsid w:val="00DA34DF"/>
    <w:rsid w:val="00DB69FD"/>
    <w:rsid w:val="00DC07D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5E3F"/>
    <w:rsid w:val="00E16652"/>
    <w:rsid w:val="00E1688D"/>
    <w:rsid w:val="00E203EB"/>
    <w:rsid w:val="00E35401"/>
    <w:rsid w:val="00E375DB"/>
    <w:rsid w:val="00E40230"/>
    <w:rsid w:val="00E42938"/>
    <w:rsid w:val="00E47508"/>
    <w:rsid w:val="00E55EB0"/>
    <w:rsid w:val="00E57BB7"/>
    <w:rsid w:val="00E61CB0"/>
    <w:rsid w:val="00E71256"/>
    <w:rsid w:val="00E71BCF"/>
    <w:rsid w:val="00E72111"/>
    <w:rsid w:val="00E81D7C"/>
    <w:rsid w:val="00E83FA4"/>
    <w:rsid w:val="00E86020"/>
    <w:rsid w:val="00EA0B4F"/>
    <w:rsid w:val="00EB00AB"/>
    <w:rsid w:val="00EC2AFC"/>
    <w:rsid w:val="00EF6F5F"/>
    <w:rsid w:val="00F138F7"/>
    <w:rsid w:val="00F2008A"/>
    <w:rsid w:val="00F21D9E"/>
    <w:rsid w:val="00F25348"/>
    <w:rsid w:val="00F27285"/>
    <w:rsid w:val="00F45506"/>
    <w:rsid w:val="00F60062"/>
    <w:rsid w:val="00F613CC"/>
    <w:rsid w:val="00F76777"/>
    <w:rsid w:val="00F82A80"/>
    <w:rsid w:val="00F83F2F"/>
    <w:rsid w:val="00F86555"/>
    <w:rsid w:val="00F8695C"/>
    <w:rsid w:val="00F86C58"/>
    <w:rsid w:val="00FB4FAC"/>
    <w:rsid w:val="00FC30C7"/>
    <w:rsid w:val="00FC3B03"/>
    <w:rsid w:val="00FC7409"/>
    <w:rsid w:val="00FC7E01"/>
    <w:rsid w:val="00FE7CAB"/>
    <w:rsid w:val="00FF03A2"/>
    <w:rsid w:val="00FF22C4"/>
    <w:rsid w:val="00FF3913"/>
    <w:rsid w:val="00FF6C85"/>
    <w:rsid w:val="2D7773C9"/>
    <w:rsid w:val="55DE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4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3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A7CF76-5CD8-4028-B1A3-664A6C9AF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2021-01-12T14:55:00Z</dcterms:created>
  <dcterms:modified xsi:type="dcterms:W3CDTF">2021-01-13T14:05:00Z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